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27 vom 1. März 2019</w:t>
      </w:r>
    </w:p>
    <w:p>
      <w:r>
        <w:t>VS Kantonsgericht, 2019-03-01, FR</w:t>
      </w:r>
    </w:p>
    <w:p>
      <w:r>
        <w:rPr>
          <w:b/>
        </w:rPr>
        <w:t xml:space="preserve">Quelle: </w:t>
      </w:r>
      <w:r>
        <w:t>https://mcp.opencaselaw.ch/entscheid/vs_gerichte_C1 17 27</w:t>
      </w:r>
    </w:p>
    <w:p>
      <w:r>
        <w:t>FR: VS_GERICHTE C1 17 27 du 1 mars 2019</w:t>
      </w:r>
    </w:p>
    <w:p>
      <w:r>
        <w:t>IT: VS_GERICHTE C1 17 27 del 1 marzo 2019</w:t>
      </w:r>
    </w:p>
    <w:p>
      <w:pPr>
        <w:pStyle w:val="Heading2"/>
      </w:pPr>
      <w:r>
        <w:t>Regeste</w:t>
      </w:r>
    </w:p>
    <w:p>
      <w:r>
        <w:t>RVJ / ZWR 2020 293 Droit des obligations – contrat de travail - ATC (Cour civile II) du 1er mars 2019, X. contre Y. SA – TCV C1 17 27 Contrat de travail ; salaire et gratification ; indemnité pour résiliation anticipée du contrat - Distinction entre salaire et gratification (consid. 4.1). - Dans le cas particulier, les « commissions » convenues par les parties font partie du salaire de l’employé et sont dues par l’employeur (consid. 4.2 et 6). - La résiliation du contrat de travail n’est pas intervenue pour des justes motifs imputa- bles à faute à l’employeur, si bien qu’aucune indemnité fondée sur l’art. 337b al. 1 CO n’est due à l’employé (cf. consid. 5). Arbeitsvertrag; Lohn und Gratifikation; Entschädigung bei vorzeitiger Vertragsauflösung - Unterscheidung zwischen Lohn und Gratifikation (E. 4.1).</w:t>
      </w:r>
    </w:p>
    <w:p>
      <w:pPr>
        <w:pStyle w:val="Heading2"/>
      </w:pPr>
      <w:r>
        <w:t>Erwägungen</w:t>
      </w:r>
    </w:p>
    <w:p>
      <w:r>
        <w:rPr>
          <w:b/>
        </w:rPr>
        <w:t>E. 5</w:t>
      </w:r>
    </w:p>
    <w:p>
      <w:r>
        <w:t>Ce dernier conclut également au paiement des « commissions » dues jusqu’à l’échéance du contrat le 31 décembre 2015, soit 150 000 fr. supplémentaires (50 000 fr. en 2014 et 100 000 fr. en 2015), sans pour autant indiquer sur quelles bases juridiques il fonde ses prétentions. L’on peut toutefois déduire de sa déclaration d’appel, plus particulière- ment de sa prétendue démotivation à œuvrer pour l’appelée du fait du non-versement des commissions convenues, que ce dernier se prévaut implicitement des art. 337 et 337b al. 1 CO.</w:t>
      </w:r>
    </w:p>
    <w:p>
      <w:r>
        <w:rPr>
          <w:b/>
        </w:rPr>
        <w:t>E. 5.1</w:t>
      </w:r>
    </w:p>
    <w:p>
      <w:r>
        <w:t>L’employeur et le travailleur peuvent résilier immédiatement le contrat en tout temps pour de justes motifs (art. 337 al. 1 CO). Sont notamment considérées comme de justes motifs toutes les circonstan- ces qui, selon les règles de la bonne foi, ne permettent pas d’exiger de celui qui a donné le congé la continuation des rapports de travail (art. 337 al. 2 CO). Un juste motif est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(s’il s’agit d’un contrat de durée indéterminée) ou l’échéance du contrat (s’il s’agit d’un contrat de durée déterminée) (Wyler/Heinzer, op. cit., n. 1.1 p. 571). Il appartient à celui qui se prévaut de l’existence de justes motifs de prouver leur existence (art. 8 CC). Si les justes motifs de la résiliation immédiate du contrat consistent dans son inobservation par l'une des parties, celle-ci doit réparer intégralement le dommage causé, compte tenu de toutes les préten- tions découlant des rapports de travail (art. 337b al. 1 CO). Le dom- mage couvert par l'art. 337b al. 1 CO correspond à l'ensemble des préjudices financiers qui sont dans un rapport de causalité adéquate avec la fin anticipée du contrat de travail ;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137 III 303 consid. 2.1.1 et la référence).</w:t>
      </w:r>
    </w:p>
    <w:p>
      <w:r>
        <w:rPr>
          <w:b/>
        </w:rPr>
        <w:t>E. 5.2</w:t>
      </w:r>
    </w:p>
    <w:p>
      <w:r>
        <w:t>En l’occurrence, il a été retenu, en faits, que la véritable raison qui a poussé l’appelant à résilier son contrat de travail réside en la promesse faite par B. de l’engager à des conditions financières extrê- mement intéressantes, ce qui ressort on ne peut plus clairement des</w:t>
      </w:r>
    </w:p>
    <w:p>
      <w:r>
        <w:t>302 RVJ / ZWR 2020 SMS échangés entre les intéressés et versés en cause. L’inobservation par l’appelée des conditions financières prévues contractuellement n’a joué aucun rôle dans cette décision de résilier son contrat. Est, à cet égard, révélateur, le fait que la résiliation du contrat de travail par l’appelant n’est pas intervenue avec effet immédiat, mais avec un délai de trois mois, preuve que la poursuite du travail lui était encore possi- ble, malgré les discussions relatives à la perception des « commis- sions ». L’appelant ne saurait donc se prévaloir de justes motifs à la résiliation de son contrat de travail imputables à faute de l’appelée. Par conséquent, ses prétentions en paiement d’un montant de 150 000 fr. fondées sur l’art. 337b al. 1 CO ne peuvent qu’être rejetées.</w:t>
      </w:r>
    </w:p>
    <w:p>
      <w:r>
        <w:rPr>
          <w:b/>
        </w:rPr>
        <w:t>E. 6</w:t>
      </w:r>
    </w:p>
    <w:p>
      <w:r>
        <w:t>Il suit de ce qui précède que l’appelant a droit au versement d’un montant de 325 000 fr. à titre de salaire jusqu’à la fin du contrat de travail, sous déduction du montant de 3149 fr. 90, avec intérêt à 5 % dès le 1er juillet 2014, solde encore dû sur le remboursement de l’avance de 55 000 fr. octroyée à l’appelant par l’appelée pour la construction d’une piscine. Le montant de 325 000 fr. portera intérêt à 5 % l’an dès le 4 mai 2014, lendemain du jour où l’interpellation de l’appelée par lettre de l’appelant du 2 mai 2014 lui est parvenue (Spahr, L’intérêt moratoire conséquence de la demeure, in RVJ 1990, p. 369). En effet, la demeure de l’appelée ne saurait correspondre à la date moyenne des termes de paiement convenus dans l’avenant du 1er octobre 2010, comme requis par l’appe- lant, ceux-ci étant suspendus à la condition que les modalités de paie- ment soient communiquées par l’intéressé, lequel n’a établi l’avoir fait que par le courrier précité. Par arrêt du 26 février 2020 (4A_158/2019), le Tribunal fédéral (1re Cour de droit civil) a rejeté le recours interjeté par Y. SA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